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E2" w:rsidRDefault="000C4EE2">
      <w:pPr>
        <w:ind w:firstLine="709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C4EE2" w:rsidRDefault="000C4EE2">
      <w:pPr>
        <w:ind w:firstLine="709"/>
        <w:jc w:val="center"/>
        <w:rPr>
          <w:rFonts w:ascii="Times New Roman" w:hAnsi="Times New Roman" w:cs="Times New Roman"/>
        </w:rPr>
      </w:pPr>
    </w:p>
    <w:p w:rsidR="000C4EE2" w:rsidRDefault="000C4EE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9745" w:type="dxa"/>
        <w:tblLook w:val="04A0" w:firstRow="1" w:lastRow="0" w:firstColumn="1" w:lastColumn="0" w:noHBand="0" w:noVBand="1"/>
      </w:tblPr>
      <w:tblGrid>
        <w:gridCol w:w="4676"/>
        <w:gridCol w:w="5069"/>
      </w:tblGrid>
      <w:tr w:rsidR="000C4EE2">
        <w:tc>
          <w:tcPr>
            <w:tcW w:w="4676" w:type="dxa"/>
            <w:shd w:val="clear" w:color="auto" w:fill="auto"/>
          </w:tcPr>
          <w:p w:rsidR="000C4EE2" w:rsidRDefault="000C4E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shd w:val="clear" w:color="auto" w:fill="auto"/>
          </w:tcPr>
          <w:p w:rsidR="000C4EE2" w:rsidRDefault="006141BA">
            <w:pPr>
              <w:pStyle w:val="aa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Утверждаю </w:t>
            </w:r>
          </w:p>
          <w:p w:rsidR="000C4EE2" w:rsidRDefault="006141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 СШОР Зерноградского района </w:t>
            </w:r>
          </w:p>
          <w:p w:rsidR="000C4EE2" w:rsidRDefault="000C4EE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4EE2" w:rsidRDefault="006141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 К.С. Яковенко </w:t>
            </w:r>
          </w:p>
          <w:p w:rsidR="000C4EE2" w:rsidRDefault="006141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от 29.12.2018г. № 190 </w:t>
            </w:r>
          </w:p>
        </w:tc>
      </w:tr>
    </w:tbl>
    <w:p w:rsidR="000C4EE2" w:rsidRDefault="000C4EE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C4EE2" w:rsidRDefault="000C4EE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C4EE2" w:rsidRDefault="000C4EE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C4EE2" w:rsidRDefault="000C4EE2">
      <w:pPr>
        <w:ind w:firstLine="709"/>
        <w:jc w:val="center"/>
        <w:rPr>
          <w:b/>
          <w:bCs/>
        </w:rPr>
      </w:pPr>
    </w:p>
    <w:p w:rsidR="000C4EE2" w:rsidRDefault="006141BA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0C4EE2" w:rsidRDefault="006141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уведомления </w:t>
      </w:r>
    </w:p>
    <w:p w:rsidR="000C4EE2" w:rsidRDefault="006141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(информирования) работниками МБУ СШОР Зерноградского района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фактах обращения в целях склонения к совершению коррупционных проявлений </w:t>
      </w:r>
    </w:p>
    <w:p w:rsidR="000C4EE2" w:rsidRDefault="000C4EE2">
      <w:pPr>
        <w:pStyle w:val="Default"/>
        <w:jc w:val="center"/>
        <w:rPr>
          <w:b/>
          <w:bCs/>
          <w:sz w:val="40"/>
          <w:szCs w:val="40"/>
        </w:rPr>
      </w:pPr>
    </w:p>
    <w:p w:rsidR="000C4EE2" w:rsidRDefault="000C4EE2">
      <w:pPr>
        <w:pStyle w:val="Default"/>
        <w:jc w:val="center"/>
        <w:rPr>
          <w:b/>
          <w:bCs/>
          <w:sz w:val="44"/>
          <w:szCs w:val="22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6141BA">
      <w:pPr>
        <w:pStyle w:val="Default"/>
        <w:jc w:val="center"/>
      </w:pPr>
      <w:r>
        <w:rPr>
          <w:sz w:val="28"/>
          <w:szCs w:val="28"/>
        </w:rPr>
        <w:t>2018г</w:t>
      </w:r>
      <w:r>
        <w:rPr>
          <w:sz w:val="23"/>
          <w:szCs w:val="23"/>
        </w:rPr>
        <w:t>.</w:t>
      </w:r>
    </w:p>
    <w:p w:rsidR="000C4EE2" w:rsidRDefault="000C4EE2">
      <w:pPr>
        <w:pStyle w:val="Default"/>
        <w:jc w:val="center"/>
        <w:rPr>
          <w:sz w:val="23"/>
          <w:szCs w:val="23"/>
        </w:rPr>
      </w:pPr>
    </w:p>
    <w:p w:rsidR="000C4EE2" w:rsidRDefault="006141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1. ОБЩИЕ ПОЛОЖЕНИЯ</w:t>
      </w:r>
    </w:p>
    <w:p w:rsidR="000C4EE2" w:rsidRDefault="000C4EE2">
      <w:pPr>
        <w:pStyle w:val="Default"/>
        <w:ind w:firstLine="709"/>
        <w:jc w:val="both"/>
        <w:rPr>
          <w:sz w:val="28"/>
          <w:szCs w:val="28"/>
        </w:rPr>
      </w:pP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информирования работниками работодателя о случаях склонения их к совершению коррупционных нарушений, (далее – Порядок) разработан на основании: </w:t>
      </w:r>
    </w:p>
    <w:p w:rsidR="000C4EE2" w:rsidRDefault="006141BA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Федерального закона от 25 декабря 2008 г. № 273-ФЗ «О противодействии коррупции»; </w:t>
      </w:r>
    </w:p>
    <w:p w:rsidR="000C4EE2" w:rsidRDefault="006141BA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У</w:t>
      </w:r>
      <w:r>
        <w:rPr>
          <w:sz w:val="28"/>
          <w:szCs w:val="28"/>
        </w:rPr>
        <w:t>каза Президента Российской Федерации от 19 мая 2008 г. № 460 «О мерах по противодействию коррупции»</w:t>
      </w:r>
    </w:p>
    <w:p w:rsidR="000C4EE2" w:rsidRDefault="006141BA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Указа Президента Российской Федерации от 2 апреля 2013 г. № 309 «О мерах по реализации отдельных положений Федерального закона «О противодействии кор</w:t>
      </w:r>
      <w:r>
        <w:rPr>
          <w:sz w:val="28"/>
          <w:szCs w:val="28"/>
        </w:rPr>
        <w:t xml:space="preserve">рупции»; </w:t>
      </w:r>
    </w:p>
    <w:p w:rsidR="000C4EE2" w:rsidRDefault="000C4EE2">
      <w:pPr>
        <w:pStyle w:val="Default"/>
        <w:ind w:firstLine="709"/>
        <w:jc w:val="both"/>
        <w:rPr>
          <w:sz w:val="28"/>
          <w:szCs w:val="28"/>
        </w:rPr>
      </w:pPr>
    </w:p>
    <w:p w:rsidR="000C4EE2" w:rsidRDefault="006141BA">
      <w:pPr>
        <w:pStyle w:val="Default"/>
        <w:ind w:firstLine="709"/>
        <w:jc w:val="both"/>
      </w:pPr>
      <w:r>
        <w:rPr>
          <w:sz w:val="28"/>
          <w:szCs w:val="28"/>
        </w:rPr>
        <w:t xml:space="preserve">1.2. Настоящий порядок определяет способ информирования работниками работодателя о случаях склонения их к совершению коррупционных нарушений в </w:t>
      </w:r>
      <w:bookmarkStart w:id="1" w:name="__DdeLink__258_1069308165"/>
      <w:r>
        <w:rPr>
          <w:sz w:val="28"/>
          <w:szCs w:val="28"/>
        </w:rPr>
        <w:t>МБУ СШОР Зерноградского района</w:t>
      </w:r>
      <w:bookmarkEnd w:id="1"/>
      <w:r>
        <w:rPr>
          <w:sz w:val="28"/>
          <w:szCs w:val="28"/>
        </w:rPr>
        <w:t xml:space="preserve">, (далее – школа).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Настоящий Порядок устанавливает порядок действи</w:t>
      </w:r>
      <w:r>
        <w:rPr>
          <w:sz w:val="28"/>
          <w:szCs w:val="28"/>
        </w:rPr>
        <w:t xml:space="preserve">й при выявлении факта коррупционных правонарушений работниками при осуществлении ими профессиональной деятельности.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Термины и определения: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Коррупция – злоупотребление служебным положением, дача взятки, получение взятки, злоупотребление полномочиями,</w:t>
      </w:r>
      <w:r>
        <w:rPr>
          <w:sz w:val="28"/>
          <w:szCs w:val="28"/>
        </w:rPr>
        <w:t xml:space="preserve">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</w:t>
      </w:r>
      <w:r>
        <w:rPr>
          <w:sz w:val="28"/>
          <w:szCs w:val="28"/>
        </w:rPr>
        <w:t>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 1 статьи</w:t>
      </w:r>
      <w:r>
        <w:rPr>
          <w:sz w:val="28"/>
          <w:szCs w:val="28"/>
        </w:rPr>
        <w:t xml:space="preserve"> 1 Федерального закона от 25 декабря 2008 г. № 273-ФЗ «О противодействии коррупции»).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</w:t>
      </w:r>
      <w:r>
        <w:rPr>
          <w:sz w:val="28"/>
          <w:szCs w:val="28"/>
        </w:rPr>
        <w:t xml:space="preserve">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 предупреждению коррупции, в том числе по выявлен</w:t>
      </w:r>
      <w:r>
        <w:rPr>
          <w:sz w:val="28"/>
          <w:szCs w:val="28"/>
        </w:rPr>
        <w:t xml:space="preserve">ию и последующему устранению причин коррупции (профилактика коррупции);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 минимизации и (или) ликвидации последствий коррупцион</w:t>
      </w:r>
      <w:r>
        <w:rPr>
          <w:sz w:val="28"/>
          <w:szCs w:val="28"/>
        </w:rPr>
        <w:t xml:space="preserve">ных правонарушений.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</w:t>
      </w:r>
      <w:r>
        <w:rPr>
          <w:sz w:val="28"/>
          <w:szCs w:val="28"/>
        </w:rPr>
        <w:t xml:space="preserve">ущение коррупционных правонарушений.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– юридическое лицо независимо от формы собственности, организационно-правовой формы и отраслевой принадлежности. </w:t>
      </w:r>
    </w:p>
    <w:p w:rsidR="000C4EE2" w:rsidRDefault="006141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Контрагент – любое российское или иностранное юридическое или физическое лицо, с которым </w:t>
      </w:r>
      <w:r>
        <w:rPr>
          <w:rFonts w:ascii="Times New Roman" w:hAnsi="Times New Roman" w:cs="Times New Roman"/>
          <w:sz w:val="28"/>
          <w:szCs w:val="28"/>
        </w:rPr>
        <w:t>организация вступает в договорные отношения, за исключением трудовых отношений.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</w:t>
      </w:r>
      <w:r>
        <w:rPr>
          <w:sz w:val="28"/>
          <w:szCs w:val="28"/>
        </w:rPr>
        <w:t>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</w:t>
      </w:r>
      <w:r>
        <w:rPr>
          <w:sz w:val="28"/>
          <w:szCs w:val="28"/>
        </w:rPr>
        <w:t>бные полномочия должностного лица либо если оно в</w:t>
      </w:r>
      <w:proofErr w:type="gramEnd"/>
      <w:r>
        <w:rPr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Коммерческий подкуп – незаконные передача лицу, выполняющему </w:t>
      </w:r>
      <w:r>
        <w:rPr>
          <w:sz w:val="28"/>
          <w:szCs w:val="28"/>
        </w:rPr>
        <w:t>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</w:t>
      </w:r>
      <w:r>
        <w:rPr>
          <w:sz w:val="28"/>
          <w:szCs w:val="28"/>
        </w:rPr>
        <w:t xml:space="preserve">мым этим лицом служебным положением (часть 1 статьи 204 Уголовного кодекса Российской Федерации). </w:t>
      </w:r>
      <w:proofErr w:type="gramEnd"/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</w:t>
      </w:r>
      <w:r>
        <w:rPr>
          <w:sz w:val="28"/>
          <w:szCs w:val="28"/>
        </w:rPr>
        <w:t xml:space="preserve">ля исполнения регулирующими документами, а также создание в организации механизмов анализа, выявления и оценки рисков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опасных сфер деятельности и обеспечение комплексной защиты организации. </w:t>
      </w:r>
    </w:p>
    <w:p w:rsidR="000C4EE2" w:rsidRDefault="000C4EE2">
      <w:pPr>
        <w:pStyle w:val="Default"/>
        <w:ind w:firstLine="709"/>
        <w:jc w:val="both"/>
        <w:rPr>
          <w:sz w:val="28"/>
          <w:szCs w:val="28"/>
        </w:rPr>
      </w:pP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ИНФОРМИРОВАНИЯ РАБОТНИКАМИ РАБОТОДАТЕЛЯ О СЛУЧАЯХ СКЛОНЕНИЯ ИХ К СОВЕРШЕНИЮ КОРРУПЦИОННЫХ НАРУШЕНИЙ </w:t>
      </w:r>
    </w:p>
    <w:p w:rsidR="000C4EE2" w:rsidRDefault="000C4EE2">
      <w:pPr>
        <w:pStyle w:val="Default"/>
        <w:ind w:firstLine="709"/>
        <w:jc w:val="both"/>
        <w:rPr>
          <w:sz w:val="28"/>
          <w:szCs w:val="28"/>
        </w:rPr>
      </w:pP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Информирование о фактах обращения в целях склонения к совершению коррупционных правонарушений, за исключением случаев, когда по данным фак</w:t>
      </w:r>
      <w:r>
        <w:rPr>
          <w:sz w:val="28"/>
          <w:szCs w:val="28"/>
        </w:rPr>
        <w:t xml:space="preserve">там проведена или проводится проверка, является обязанностью работника школы.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Работники школы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</w:t>
      </w:r>
      <w:r>
        <w:rPr>
          <w:sz w:val="28"/>
          <w:szCs w:val="28"/>
        </w:rPr>
        <w:t xml:space="preserve">ений.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 </w:t>
      </w:r>
    </w:p>
    <w:p w:rsidR="000C4EE2" w:rsidRDefault="006141BA">
      <w:pPr>
        <w:pStyle w:val="Default"/>
        <w:ind w:firstLine="709"/>
        <w:jc w:val="both"/>
      </w:pPr>
      <w:r>
        <w:rPr>
          <w:sz w:val="28"/>
          <w:szCs w:val="28"/>
        </w:rPr>
        <w:t>2.3. Уведомление работодателя о фактах обращения в целях склонения работников школы</w:t>
      </w:r>
      <w:r>
        <w:rPr>
          <w:sz w:val="28"/>
          <w:szCs w:val="28"/>
        </w:rPr>
        <w:t xml:space="preserve"> к совершению коррупционных правонарушений (далее – уведомление) осуществляется письменно, путем передачи его ответственному лицу за реализацию антикоррупционной политики или путем направления такого уведомления по почте.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Перечень сведений, подлежащи</w:t>
      </w:r>
      <w:r>
        <w:rPr>
          <w:sz w:val="28"/>
          <w:szCs w:val="28"/>
        </w:rPr>
        <w:t xml:space="preserve">х отражению в уведомлении (Приложение №1), должен содержать: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фамилию, имя, отчество, должность, место жительства и телефон лица, направившего уведомление;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описание обстоятельств, при которых стало известно о случаях обращения к работнику школы в связ</w:t>
      </w:r>
      <w:r>
        <w:rPr>
          <w:sz w:val="28"/>
          <w:szCs w:val="28"/>
        </w:rPr>
        <w:t xml:space="preserve">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подробные сведения о коррупционных правонарушениях, которые должен был бы совершить работник ш</w:t>
      </w:r>
      <w:r>
        <w:rPr>
          <w:sz w:val="28"/>
          <w:szCs w:val="28"/>
        </w:rPr>
        <w:t xml:space="preserve">колы по просьбе обратившихся лиц;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 известные сведения о физическом (юридическом) лице, склоняющем к коррупционному правонарушению;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</w:t>
      </w:r>
      <w:r>
        <w:rPr>
          <w:sz w:val="28"/>
          <w:szCs w:val="28"/>
        </w:rPr>
        <w:t xml:space="preserve">редложение лица о совершении коррупционного правонарушения.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Все уведомления подлежат обязательной регистрации в специальном журнале, который должен быть прошит и пронумерован, а также заверен оттиском печати.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Обязанность по ведению журнала в школе в</w:t>
      </w:r>
      <w:r>
        <w:rPr>
          <w:sz w:val="28"/>
          <w:szCs w:val="28"/>
        </w:rPr>
        <w:t xml:space="preserve">озлагается на ответственного за реализацию антикоррупционной политики. </w:t>
      </w:r>
      <w:proofErr w:type="gramEnd"/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лицо, принявшее уведомление, помимо его регистрации в журнале, обязано выдать работнику направившему уведомление, под роспись талон-уведомление с указанием данных о лице</w:t>
      </w:r>
      <w:r>
        <w:rPr>
          <w:sz w:val="28"/>
          <w:szCs w:val="28"/>
        </w:rPr>
        <w:t xml:space="preserve">, принявшем уведомление, дате и времени его принятия.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(приложение № 2).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заполнения корешок талона-уведомления остается у уполномоченного лица, а талон-уведомл</w:t>
      </w:r>
      <w:r>
        <w:rPr>
          <w:sz w:val="28"/>
          <w:szCs w:val="28"/>
        </w:rPr>
        <w:t xml:space="preserve">ение вручается работнику, направившему уведомление.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уведомление поступило по почте, талон-уведомление направляется работнику, направившему уведомление, по почте заказным письмом.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регистрации уведомления, а также невыдача талона-увед</w:t>
      </w:r>
      <w:r>
        <w:rPr>
          <w:sz w:val="28"/>
          <w:szCs w:val="28"/>
        </w:rPr>
        <w:t xml:space="preserve">омления не допускается.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К рассмотрению анонимные уведомления не принимаются.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Организация проверки </w:t>
      </w:r>
      <w:proofErr w:type="gramStart"/>
      <w:r>
        <w:rPr>
          <w:sz w:val="28"/>
          <w:szCs w:val="28"/>
        </w:rPr>
        <w:t>сведений</w:t>
      </w:r>
      <w:r>
        <w:rPr>
          <w:sz w:val="28"/>
          <w:szCs w:val="28"/>
        </w:rPr>
        <w:t>, содержащихся в поступившем уведомлении осуществляется</w:t>
      </w:r>
      <w:proofErr w:type="gramEnd"/>
      <w:r>
        <w:rPr>
          <w:sz w:val="28"/>
          <w:szCs w:val="28"/>
        </w:rPr>
        <w:t xml:space="preserve"> Комиссией по противодействию коррупции, в соответствии с требованиями Положения «О Комиссии по противодействию коррупции». </w:t>
      </w:r>
    </w:p>
    <w:p w:rsidR="000C4EE2" w:rsidRDefault="000C4EE2">
      <w:pPr>
        <w:pStyle w:val="Default"/>
        <w:ind w:firstLine="709"/>
        <w:jc w:val="both"/>
        <w:rPr>
          <w:sz w:val="28"/>
          <w:szCs w:val="28"/>
        </w:rPr>
      </w:pP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ПОРЯДОК ДЕЙСТВИЙ ПРИ ВЫЯВЛЕНИИ ФАКТА КОРРУПЦИОННЫХ ПРАВОНАРУШЕНИЙ РАБОТН</w:t>
      </w:r>
      <w:r>
        <w:rPr>
          <w:b/>
          <w:bCs/>
          <w:sz w:val="28"/>
          <w:szCs w:val="28"/>
        </w:rPr>
        <w:t xml:space="preserve">ИКАМИ ПРИ ОСУЩЕСТВЛЕНИИ ИМИ ПРОФЕССИОНАЛЬНОЙ ДЕЯТЕЛЬНОСТИ </w:t>
      </w:r>
    </w:p>
    <w:p w:rsidR="000C4EE2" w:rsidRDefault="000C4EE2">
      <w:pPr>
        <w:pStyle w:val="Default"/>
        <w:ind w:firstLine="709"/>
        <w:jc w:val="both"/>
        <w:rPr>
          <w:sz w:val="28"/>
          <w:szCs w:val="28"/>
        </w:rPr>
      </w:pP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</w:t>
      </w:r>
      <w:r>
        <w:rPr>
          <w:sz w:val="28"/>
          <w:szCs w:val="28"/>
        </w:rPr>
        <w:t xml:space="preserve">них обучающихся, иных физических либо юридических лиц экстренно созывается комиссия по противодействию коррупции.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Соответствующее заявление рассматривается на заседании комиссии по противодействию коррупции.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Заседание комиссии по рассмотрению данного факта назначается сроком не позднее дня следующего за днем выявления факта. </w:t>
      </w:r>
    </w:p>
    <w:p w:rsidR="000C4EE2" w:rsidRDefault="006141BA">
      <w:pPr>
        <w:pStyle w:val="Default"/>
        <w:ind w:firstLine="709"/>
        <w:jc w:val="both"/>
      </w:pPr>
      <w:r>
        <w:rPr>
          <w:sz w:val="28"/>
          <w:szCs w:val="28"/>
        </w:rPr>
        <w:t>3.4. Заявление обучающихся, родителей (законных представителей) несовершеннолетних обучающихся, иных физических либо юридических ли</w:t>
      </w:r>
      <w:r>
        <w:rPr>
          <w:sz w:val="28"/>
          <w:szCs w:val="28"/>
        </w:rPr>
        <w:t xml:space="preserve">ц о фактах требования и или получения материальной выгоды работником школы, регистрируется в специальном журнале.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 результатам рассмотрения заявления, комиссией принимается решение о проведении служебного расследования.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Перечень сведений, под</w:t>
      </w:r>
      <w:r>
        <w:rPr>
          <w:sz w:val="28"/>
          <w:szCs w:val="28"/>
        </w:rPr>
        <w:t xml:space="preserve">лежащих отражению в заявлении: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фамилия, имя, отчество, должность, место жительства и телефон лица, направившего заявление;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описание обстоятельств, при которых стало известно о факте требования или получения материальной выгоды работником школы;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</w:t>
      </w:r>
      <w:r>
        <w:rPr>
          <w:sz w:val="28"/>
          <w:szCs w:val="28"/>
        </w:rPr>
        <w:t xml:space="preserve">особ и обстоятельства коррупционного правонарушения.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К рассмотрению анонимные уведомления не принимаются. </w:t>
      </w:r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>
        <w:rPr>
          <w:sz w:val="28"/>
          <w:szCs w:val="28"/>
        </w:rPr>
        <w:t>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</w:t>
      </w:r>
      <w:r>
        <w:rPr>
          <w:sz w:val="28"/>
          <w:szCs w:val="28"/>
        </w:rPr>
        <w:t xml:space="preserve">ресов школы. </w:t>
      </w:r>
    </w:p>
    <w:p w:rsidR="000C4EE2" w:rsidRDefault="000C4EE2">
      <w:pPr>
        <w:pStyle w:val="Default"/>
        <w:jc w:val="both"/>
        <w:rPr>
          <w:sz w:val="28"/>
          <w:szCs w:val="28"/>
        </w:rPr>
      </w:pPr>
    </w:p>
    <w:p w:rsidR="000C4EE2" w:rsidRDefault="000C4EE2">
      <w:pPr>
        <w:pStyle w:val="Default"/>
        <w:ind w:firstLine="709"/>
        <w:jc w:val="both"/>
        <w:rPr>
          <w:sz w:val="28"/>
          <w:szCs w:val="28"/>
        </w:rPr>
      </w:pPr>
    </w:p>
    <w:p w:rsidR="000C4EE2" w:rsidRDefault="006141BA">
      <w:pPr>
        <w:pStyle w:val="Default"/>
        <w:ind w:firstLine="709"/>
        <w:jc w:val="both"/>
      </w:pPr>
      <w:r>
        <w:rPr>
          <w:bCs/>
          <w:sz w:val="28"/>
          <w:szCs w:val="28"/>
        </w:rPr>
        <w:t xml:space="preserve">3.11. МБУ СШОР Зерноградского района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школе (работникам школы) стало известно. </w:t>
      </w:r>
    </w:p>
    <w:p w:rsidR="000C4EE2" w:rsidRDefault="000C4EE2">
      <w:pPr>
        <w:pStyle w:val="Default"/>
        <w:ind w:firstLine="709"/>
        <w:jc w:val="both"/>
        <w:rPr>
          <w:sz w:val="28"/>
          <w:szCs w:val="28"/>
        </w:rPr>
      </w:pPr>
    </w:p>
    <w:p w:rsidR="000C4EE2" w:rsidRDefault="006141BA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ЗАКЛЮЧИТЕЛЬНЫЕ ПОЛОЖЕНИЯ </w:t>
      </w:r>
    </w:p>
    <w:p w:rsidR="000C4EE2" w:rsidRDefault="000C4EE2">
      <w:pPr>
        <w:pStyle w:val="Default"/>
        <w:ind w:firstLine="709"/>
        <w:jc w:val="both"/>
        <w:rPr>
          <w:sz w:val="28"/>
          <w:szCs w:val="28"/>
        </w:rPr>
      </w:pPr>
    </w:p>
    <w:p w:rsidR="000C4EE2" w:rsidRDefault="006141BA">
      <w:pPr>
        <w:pStyle w:val="Default"/>
        <w:ind w:firstLine="709"/>
        <w:jc w:val="both"/>
      </w:pPr>
      <w:r>
        <w:rPr>
          <w:sz w:val="28"/>
          <w:szCs w:val="28"/>
        </w:rPr>
        <w:t>4.1. Настоящий Порядок может быть пересмотрен как по инициативе работников, так и по инициативе руководства МБУ СШОР Зерноградского района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C4EE2" w:rsidRDefault="00614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настоящий Порядок могут быть внесены изменения и дополнения, в соответствии с </w:t>
      </w:r>
      <w:r>
        <w:rPr>
          <w:sz w:val="28"/>
          <w:szCs w:val="28"/>
        </w:rPr>
        <w:t xml:space="preserve">соблюдением процедуры принятия локальных актов, с учетом мнения первичной профсоюзной организации. </w:t>
      </w:r>
    </w:p>
    <w:p w:rsidR="000C4EE2" w:rsidRDefault="000C4E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pStyle w:val="a8"/>
        <w:jc w:val="right"/>
      </w:pPr>
    </w:p>
    <w:p w:rsidR="000C4EE2" w:rsidRDefault="000C4EE2">
      <w:pPr>
        <w:pStyle w:val="a8"/>
        <w:jc w:val="right"/>
      </w:pPr>
    </w:p>
    <w:p w:rsidR="000C4EE2" w:rsidRDefault="000C4EE2">
      <w:pPr>
        <w:pStyle w:val="a8"/>
        <w:jc w:val="right"/>
      </w:pPr>
    </w:p>
    <w:p w:rsidR="000C4EE2" w:rsidRDefault="000C4EE2">
      <w:pPr>
        <w:pStyle w:val="a8"/>
        <w:jc w:val="right"/>
      </w:pPr>
    </w:p>
    <w:p w:rsidR="000C4EE2" w:rsidRDefault="006141BA">
      <w:pPr>
        <w:pStyle w:val="a8"/>
        <w:jc w:val="right"/>
      </w:pPr>
      <w:r>
        <w:t>Приложение  1</w:t>
      </w:r>
      <w:r>
        <w:br/>
        <w:t>к Порядку уведомления представителя нанимателя</w:t>
      </w:r>
      <w:r>
        <w:br/>
        <w:t>(работодателя) о фактах обращения в целях склонения</w:t>
      </w:r>
      <w:r>
        <w:br/>
      </w:r>
      <w:r>
        <w:br/>
      </w:r>
      <w:r>
        <w:t>___________________________________________</w:t>
      </w:r>
      <w:r>
        <w:br/>
        <w:t>___________________________________________</w:t>
      </w:r>
      <w:r>
        <w:br/>
        <w:t>___________________________________________</w:t>
      </w:r>
      <w:r>
        <w:br/>
        <w:t>(</w:t>
      </w:r>
      <w:proofErr w:type="spellStart"/>
      <w:r>
        <w:t>ф.и.о.</w:t>
      </w:r>
      <w:proofErr w:type="spellEnd"/>
      <w:r>
        <w:t xml:space="preserve"> уведомителя, должность, наименование структурного подразделения)</w:t>
      </w:r>
    </w:p>
    <w:p w:rsidR="000C4EE2" w:rsidRDefault="006141BA">
      <w:pPr>
        <w:pStyle w:val="a8"/>
      </w:pPr>
      <w:r>
        <w:t> </w:t>
      </w:r>
      <w:r>
        <w:rPr>
          <w:color w:val="000000"/>
        </w:rPr>
        <w:t>                  </w:t>
      </w:r>
    </w:p>
    <w:p w:rsidR="000C4EE2" w:rsidRDefault="006141BA">
      <w:pPr>
        <w:spacing w:beforeAutospacing="1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0C4EE2" w:rsidRDefault="006141BA">
      <w:pPr>
        <w:pStyle w:val="a8"/>
      </w:pPr>
      <w:r>
        <w:t> </w:t>
      </w:r>
    </w:p>
    <w:p w:rsidR="000C4EE2" w:rsidRDefault="006141B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(фамилия, имя</w:t>
      </w:r>
      <w:r>
        <w:rPr>
          <w:rFonts w:ascii="Times New Roman" w:hAnsi="Times New Roman" w:cs="Times New Roman"/>
          <w:color w:val="000000"/>
          <w:sz w:val="24"/>
          <w:szCs w:val="24"/>
        </w:rPr>
        <w:t>, отчество)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уведомляю об обращении ко мне ____________________________ 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(дата, время и место)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гр. 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(фамилия, имя, отчество)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целях склонения меня к совершению коррупционных действий, а именно: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(в произвольной форме изложить 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формацию об обстоятельствах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обращения в целях склонения к совершению коррупционных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действий)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«____»_______________ 20___г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                                ______________________                  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</w:p>
    <w:p w:rsidR="000C4EE2" w:rsidRDefault="006141BA">
      <w:pPr>
        <w:pStyle w:val="a8"/>
      </w:pPr>
      <w:r>
        <w:t> </w:t>
      </w:r>
    </w:p>
    <w:p w:rsidR="000C4EE2" w:rsidRDefault="006141B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Журнале регистрации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«____»_____________ 20___ г.    N 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должность ответственного лица)</w:t>
      </w:r>
    </w:p>
    <w:p w:rsidR="000C4EE2" w:rsidRDefault="006141BA">
      <w:pPr>
        <w:pStyle w:val="a8"/>
      </w:pPr>
      <w:r>
        <w:t> </w:t>
      </w:r>
    </w:p>
    <w:p w:rsidR="000C4EE2" w:rsidRDefault="006141BA">
      <w:pPr>
        <w:spacing w:beforeAutospacing="1" w:afterAutospacing="1"/>
      </w:pPr>
      <w:r>
        <w:rPr>
          <w:color w:val="000000"/>
        </w:rPr>
        <w:t> </w:t>
      </w:r>
    </w:p>
    <w:p w:rsidR="000C4EE2" w:rsidRDefault="006141BA">
      <w:pPr>
        <w:pStyle w:val="a8"/>
      </w:pPr>
      <w:r>
        <w:lastRenderedPageBreak/>
        <w:t> </w:t>
      </w:r>
    </w:p>
    <w:p w:rsidR="000C4EE2" w:rsidRDefault="006141BA">
      <w:pPr>
        <w:pStyle w:val="a8"/>
        <w:jc w:val="right"/>
      </w:pPr>
      <w:r>
        <w:rPr>
          <w:color w:val="000000"/>
        </w:rPr>
        <w:t>Приложение  2</w:t>
      </w:r>
      <w:r>
        <w:rPr>
          <w:color w:val="000000"/>
        </w:rPr>
        <w:br/>
        <w:t>к Порядку уведомления представителя нанимателя</w:t>
      </w:r>
      <w:r>
        <w:rPr>
          <w:color w:val="000000"/>
        </w:rPr>
        <w:br/>
        <w:t>(работодателя) о фактах обращения в целях склонения</w:t>
      </w:r>
      <w:r>
        <w:rPr>
          <w:color w:val="000000"/>
        </w:rPr>
        <w:br/>
        <w:t xml:space="preserve">государственного  служащего </w:t>
      </w:r>
      <w:r>
        <w:rPr>
          <w:color w:val="000000"/>
        </w:rPr>
        <w:br/>
      </w:r>
    </w:p>
    <w:p w:rsidR="000C4EE2" w:rsidRDefault="006141BA">
      <w:pPr>
        <w:spacing w:beforeAutospacing="1" w:afterAutospacing="1"/>
        <w:jc w:val="right"/>
      </w:pPr>
      <w:r>
        <w:rPr>
          <w:color w:val="000000"/>
        </w:rPr>
        <w:t> </w:t>
      </w:r>
    </w:p>
    <w:p w:rsidR="000C4EE2" w:rsidRDefault="006141BA">
      <w:pPr>
        <w:spacing w:beforeAutospacing="1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ЖУРНАЛ УЧЕТА УВЕДОМЛЕНИЙ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 фактах обращения в целях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клонения государственного служащего к совершению коррупционных правонарушений</w:t>
      </w:r>
    </w:p>
    <w:p w:rsidR="000C4EE2" w:rsidRDefault="006141BA">
      <w:pPr>
        <w:pStyle w:val="a8"/>
      </w:pPr>
      <w:r>
        <w:t> </w:t>
      </w:r>
    </w:p>
    <w:p w:rsidR="000C4EE2" w:rsidRDefault="006141B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C4EE2" w:rsidRDefault="006141BA">
      <w:pPr>
        <w:pStyle w:val="a8"/>
      </w:pPr>
      <w:r>
        <w:t> </w:t>
      </w:r>
    </w:p>
    <w:tbl>
      <w:tblPr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538"/>
        <w:gridCol w:w="1229"/>
        <w:gridCol w:w="3168"/>
        <w:gridCol w:w="2176"/>
        <w:gridCol w:w="1732"/>
      </w:tblGrid>
      <w:tr w:rsidR="000C4EE2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должность лица,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подавшего уведомление  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структурного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подразделения  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0C4EE2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EE2" w:rsidRDefault="000C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  </w:t>
            </w: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EE2" w:rsidRDefault="000C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EE2" w:rsidRDefault="000C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EE2" w:rsidRDefault="000C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E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4EE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E2" w:rsidRDefault="006141B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C4EE2" w:rsidRDefault="000C4EE2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0C4EE2" w:rsidRDefault="000C4EE2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C4EE2" w:rsidRDefault="000C4EE2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C4EE2" w:rsidRDefault="000C4EE2"/>
    <w:sectPr w:rsidR="000C4EE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E2"/>
    <w:rsid w:val="000C4EE2"/>
    <w:rsid w:val="0061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E13AF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nhideWhenUsed/>
    <w:qFormat/>
    <w:rsid w:val="00C54C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0740E"/>
  </w:style>
  <w:style w:type="paragraph" w:customStyle="1" w:styleId="aa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0E13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E13AF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nhideWhenUsed/>
    <w:qFormat/>
    <w:rsid w:val="00C54C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0740E"/>
  </w:style>
  <w:style w:type="paragraph" w:customStyle="1" w:styleId="aa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0E13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2019-03-13T10:22:00Z</cp:lastPrinted>
  <dcterms:created xsi:type="dcterms:W3CDTF">2020-02-28T05:48:00Z</dcterms:created>
  <dcterms:modified xsi:type="dcterms:W3CDTF">2020-02-28T05:48:00Z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